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Weiner Neil</w:t>
              </w:r>
            </w:hyperlink>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NU RIDE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NRDE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bottom w:val="single" w:sz="8" w:color="0000EE"/>
            </w:tcBorders>
          </w:tcPr>
          <w:p>
            <w:pPr>
              <w:spacing w:after="0"/>
              <w:rPr>
                <w:sz w:val="6"/>
                <w:szCs w:val="6"/>
                <w:color w:val="auto"/>
              </w:rPr>
            </w:pPr>
          </w:p>
        </w:tc>
        <w:tc>
          <w:tcPr>
            <w:tcW w:w="2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2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NU RIDE INC.</w:t>
            </w:r>
          </w:p>
        </w:tc>
        <w:tc>
          <w:tcPr>
            <w:tcW w:w="16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24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1700 BROADWAY, 19TH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01/02/2026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72,464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jc w:val="right"/>
              <w:ind w:right="10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192,997</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Foxhill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656,713</w:t>
            </w:r>
            <w:r>
              <w:rPr>
                <w:rFonts w:ascii="Times New Roman" w:cs="Times New Roman" w:eastAsia="Times New Roman" w:hAnsi="Times New Roman"/>
                <w:sz w:val="22"/>
                <w:szCs w:val="22"/>
                <w:color w:val="008000"/>
                <w:vertAlign w:val="superscript"/>
              </w:rPr>
              <w:t>(3)</w:t>
            </w:r>
          </w:p>
        </w:tc>
        <w:tc>
          <w:tcPr>
            <w:tcW w:w="300" w:type="dxa"/>
            <w:vAlign w:val="bottom"/>
          </w:tcPr>
          <w:p>
            <w:pPr>
              <w:spacing w:after="0"/>
              <w:rPr>
                <w:sz w:val="18"/>
                <w:szCs w:val="18"/>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in two equal annual installments beginning on January 2, 2027.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w:t>
      </w:r>
    </w:p>
    <w:p>
      <w:pPr>
        <w:spacing w:after="0" w:line="50"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president of the general partner of Foxhill Family Partnership, LP and, by virtue of such position, has voting and dispositive power over the securities held by it. The reporting person disclaims beneficial ownership of these securities except to the extent of his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Alexander Matina,</w:t>
            </w:r>
          </w:p>
        </w:tc>
        <w:tc>
          <w:tcPr>
            <w:tcW w:w="5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01/06/2026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Alexander Matina, John Bessonette and Amanda Grimes,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3" w:lineRule="exact"/>
        <w:rPr>
          <w:sz w:val="20"/>
          <w:szCs w:val="20"/>
          <w:color w:val="auto"/>
        </w:rPr>
      </w:pPr>
    </w:p>
    <w:p>
      <w:pPr>
        <w:jc w:val="both"/>
        <w:ind w:firstLine="326"/>
        <w:spacing w:after="0" w:line="256" w:lineRule="auto"/>
        <w:tabs>
          <w:tab w:leader="none" w:pos="5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16 of the Securities Exchange Act of 1934 (the “Exchange Act”) or any rule or regulation thereunder;</w:t>
      </w:r>
    </w:p>
    <w:p>
      <w:pPr>
        <w:spacing w:after="0" w:line="182" w:lineRule="exact"/>
        <w:rPr>
          <w:rFonts w:ascii="Times New Roman" w:cs="Times New Roman" w:eastAsia="Times New Roman" w:hAnsi="Times New Roman"/>
          <w:sz w:val="18"/>
          <w:szCs w:val="18"/>
          <w:color w:val="auto"/>
        </w:rPr>
      </w:pPr>
    </w:p>
    <w:p>
      <w:pPr>
        <w:jc w:val="both"/>
        <w:ind w:firstLine="326"/>
        <w:spacing w:after="0" w:line="256" w:lineRule="auto"/>
        <w:tabs>
          <w:tab w:leader="none" w:pos="5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Nu Ride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Exchange Act or any rule or regulation thereunder, with respect to the any security of the Company, including Forms 3, 4 and 5; and</w:t>
      </w:r>
    </w:p>
    <w:p>
      <w:pPr>
        <w:spacing w:after="0" w:line="182" w:lineRule="exact"/>
        <w:rPr>
          <w:rFonts w:ascii="Times New Roman" w:cs="Times New Roman" w:eastAsia="Times New Roman" w:hAnsi="Times New Roman"/>
          <w:sz w:val="18"/>
          <w:szCs w:val="18"/>
          <w:color w:val="auto"/>
        </w:rPr>
      </w:pPr>
    </w:p>
    <w:p>
      <w:pPr>
        <w:jc w:val="both"/>
        <w:ind w:firstLine="326"/>
        <w:spacing w:after="0" w:line="261" w:lineRule="auto"/>
        <w:tabs>
          <w:tab w:leader="none" w:pos="5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19" w:lineRule="exact"/>
        <w:rPr>
          <w:sz w:val="20"/>
          <w:szCs w:val="20"/>
          <w:color w:val="auto"/>
        </w:rPr>
      </w:pPr>
    </w:p>
    <w:p>
      <w:pPr>
        <w:ind w:left="960" w:hanging="314"/>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3" w:lineRule="exact"/>
        <w:rPr>
          <w:rFonts w:ascii="Times New Roman" w:cs="Times New Roman" w:eastAsia="Times New Roman" w:hAnsi="Times New Roman"/>
          <w:sz w:val="18"/>
          <w:szCs w:val="18"/>
          <w:color w:val="auto"/>
        </w:rPr>
      </w:pPr>
    </w:p>
    <w:p>
      <w:pPr>
        <w:ind w:left="960" w:hanging="314"/>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3" w:lineRule="exact"/>
        <w:rPr>
          <w:rFonts w:ascii="Times New Roman" w:cs="Times New Roman" w:eastAsia="Times New Roman" w:hAnsi="Times New Roman"/>
          <w:sz w:val="18"/>
          <w:szCs w:val="18"/>
          <w:color w:val="auto"/>
        </w:rPr>
      </w:pPr>
    </w:p>
    <w:p>
      <w:pPr>
        <w:jc w:val="both"/>
        <w:ind w:left="960" w:hanging="31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77" w:lineRule="exact"/>
        <w:rPr>
          <w:rFonts w:ascii="Times New Roman" w:cs="Times New Roman" w:eastAsia="Times New Roman" w:hAnsi="Times New Roman"/>
          <w:sz w:val="18"/>
          <w:szCs w:val="18"/>
          <w:color w:val="auto"/>
        </w:rPr>
      </w:pPr>
    </w:p>
    <w:p>
      <w:pPr>
        <w:ind w:left="960" w:right="20" w:hanging="314"/>
        <w:spacing w:after="0" w:line="27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16 of the Exchange Act, including, without limitation, the reporting requirements under Section 16 of the Exchange Act.</w:t>
      </w:r>
    </w:p>
    <w:p>
      <w:pPr>
        <w:spacing w:after="0" w:line="164" w:lineRule="exact"/>
        <w:rPr>
          <w:sz w:val="20"/>
          <w:szCs w:val="20"/>
          <w:color w:val="auto"/>
        </w:rPr>
      </w:pPr>
    </w:p>
    <w:p>
      <w:pPr>
        <w:jc w:val="both"/>
        <w:ind w:firstLine="320"/>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3" w:lineRule="exact"/>
        <w:rPr>
          <w:sz w:val="20"/>
          <w:szCs w:val="20"/>
          <w:color w:val="auto"/>
        </w:rPr>
      </w:pPr>
    </w:p>
    <w:p>
      <w:pPr>
        <w:jc w:val="both"/>
        <w:ind w:right="20" w:firstLine="32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January 6, 2026.</w:t>
      </w:r>
    </w:p>
    <w:p>
      <w:pPr>
        <w:spacing w:after="0" w:line="2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/s/ Neil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17145</wp:posOffset>
            </wp:positionV>
            <wp:extent cx="347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Neil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50256" TargetMode="External"/><Relationship Id="rId14" Type="http://schemas.openxmlformats.org/officeDocument/2006/relationships/hyperlink" Target="http://www.sec.gov/cgi-bin/browse-edgar?action=getcompany&amp;CIK=00017595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2026-01-06T16:17:16Z</dcterms:created>
  <dcterms:modified xsi:type="dcterms:W3CDTF">2026-01-06T16:17:16Z</dcterms:modified>
</cp:coreProperties>
</file>